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B" w:rsidRPr="000379C5" w:rsidRDefault="000379C5" w:rsidP="000379C5">
      <w:pPr>
        <w:spacing w:line="560" w:lineRule="exact"/>
        <w:jc w:val="center"/>
        <w:rPr>
          <w:b/>
          <w:sz w:val="56"/>
          <w:szCs w:val="56"/>
          <w:shd w:val="pct15" w:color="auto" w:fill="FFFFFF"/>
        </w:rPr>
      </w:pPr>
      <w:r w:rsidRPr="000379C5">
        <w:rPr>
          <w:rFonts w:hint="eastAsia"/>
          <w:b/>
          <w:sz w:val="56"/>
          <w:szCs w:val="56"/>
          <w:shd w:val="pct15" w:color="auto" w:fill="FFFFFF"/>
        </w:rPr>
        <w:t>實驗室注意事項</w:t>
      </w:r>
    </w:p>
    <w:p w:rsidR="000379C5" w:rsidRDefault="000379C5" w:rsidP="0038138E">
      <w:pPr>
        <w:spacing w:line="360" w:lineRule="exact"/>
        <w:rPr>
          <w:rFonts w:ascii="新細明體" w:eastAsia="新細明體" w:hAnsi="新細明體" w:hint="eastAsia"/>
          <w:b/>
          <w:sz w:val="28"/>
          <w:szCs w:val="28"/>
        </w:rPr>
      </w:pPr>
      <w:bookmarkStart w:id="0" w:name="_GoBack"/>
      <w:bookmarkEnd w:id="0"/>
    </w:p>
    <w:p w:rsidR="0038138E" w:rsidRPr="00C15257" w:rsidRDefault="0038138E" w:rsidP="0038138E">
      <w:pPr>
        <w:spacing w:line="360" w:lineRule="exact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Pr="00C15257">
        <w:rPr>
          <w:rFonts w:hint="eastAsia"/>
          <w:b/>
          <w:sz w:val="28"/>
          <w:szCs w:val="28"/>
        </w:rPr>
        <w:t>法令依據：危險物及有害物標示及通識規則第</w:t>
      </w:r>
      <w:r w:rsidRPr="00C15257">
        <w:rPr>
          <w:b/>
          <w:sz w:val="28"/>
          <w:szCs w:val="28"/>
        </w:rPr>
        <w:t xml:space="preserve"> 5 </w:t>
      </w:r>
      <w:r w:rsidRPr="00C15257">
        <w:rPr>
          <w:rFonts w:hint="eastAsia"/>
          <w:b/>
          <w:sz w:val="28"/>
          <w:szCs w:val="28"/>
        </w:rPr>
        <w:t>條：裝有危害物質之容器，應依規定之分類、圖式，及明顯標示圖式及內容（名稱、危害成分、警示語、危害警告訊息、危害防範措施、製造商或供應商之名稱、地址及電話）。</w:t>
      </w:r>
    </w:p>
    <w:p w:rsidR="0038138E" w:rsidRPr="00C15257" w:rsidRDefault="0038138E" w:rsidP="0038138E">
      <w:pPr>
        <w:spacing w:line="360" w:lineRule="exact"/>
        <w:rPr>
          <w:b/>
          <w:color w:val="FF0000"/>
          <w:sz w:val="28"/>
          <w:szCs w:val="28"/>
        </w:rPr>
      </w:pPr>
      <w:r w:rsidRPr="00C15257">
        <w:rPr>
          <w:rFonts w:hint="eastAsia"/>
          <w:b/>
          <w:color w:val="FF0000"/>
          <w:sz w:val="28"/>
          <w:szCs w:val="28"/>
        </w:rPr>
        <w:t>化學品未依</w:t>
      </w:r>
      <w:r w:rsidRPr="00C15257">
        <w:rPr>
          <w:b/>
          <w:color w:val="FF0000"/>
          <w:sz w:val="28"/>
          <w:szCs w:val="28"/>
        </w:rPr>
        <w:t xml:space="preserve"> GHS </w:t>
      </w:r>
      <w:r>
        <w:rPr>
          <w:rFonts w:hint="eastAsia"/>
          <w:b/>
          <w:color w:val="FF0000"/>
          <w:sz w:val="28"/>
          <w:szCs w:val="28"/>
        </w:rPr>
        <w:t>規定標示於瓶身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及</w:t>
      </w:r>
      <w:r w:rsidRPr="000C4739">
        <w:rPr>
          <w:rFonts w:hint="eastAsia"/>
          <w:b/>
          <w:color w:val="FF0000"/>
          <w:sz w:val="28"/>
          <w:szCs w:val="28"/>
        </w:rPr>
        <w:t>化學品之</w:t>
      </w:r>
      <w:r w:rsidRPr="000C4739">
        <w:rPr>
          <w:rFonts w:hint="eastAsia"/>
          <w:b/>
          <w:color w:val="FF0000"/>
          <w:sz w:val="28"/>
          <w:szCs w:val="28"/>
        </w:rPr>
        <w:t xml:space="preserve"> GHS </w:t>
      </w:r>
      <w:r w:rsidRPr="000C4739">
        <w:rPr>
          <w:rFonts w:hint="eastAsia"/>
          <w:b/>
          <w:color w:val="FF0000"/>
          <w:sz w:val="28"/>
          <w:szCs w:val="28"/>
        </w:rPr>
        <w:t>未依規定使用</w:t>
      </w:r>
      <w:r w:rsidRPr="008609CE">
        <w:rPr>
          <w:rFonts w:hint="eastAsia"/>
          <w:b/>
          <w:color w:val="FF0000"/>
          <w:sz w:val="28"/>
          <w:szCs w:val="28"/>
        </w:rPr>
        <w:t>危害圖示</w:t>
      </w:r>
      <w:r w:rsidRPr="000C4739">
        <w:rPr>
          <w:rFonts w:hint="eastAsia"/>
          <w:b/>
          <w:color w:val="FF0000"/>
          <w:sz w:val="28"/>
          <w:szCs w:val="28"/>
        </w:rPr>
        <w:t>『</w:t>
      </w:r>
      <w:proofErr w:type="gramStart"/>
      <w:r w:rsidRPr="000C4739">
        <w:rPr>
          <w:rFonts w:hint="eastAsia"/>
          <w:b/>
          <w:color w:val="FF0000"/>
          <w:sz w:val="28"/>
          <w:szCs w:val="28"/>
        </w:rPr>
        <w:t>紅框白底</w:t>
      </w:r>
      <w:proofErr w:type="gramEnd"/>
      <w:r w:rsidRPr="000C4739">
        <w:rPr>
          <w:rFonts w:hint="eastAsia"/>
          <w:b/>
          <w:color w:val="FF0000"/>
          <w:sz w:val="28"/>
          <w:szCs w:val="28"/>
        </w:rPr>
        <w:t>黑字』樣式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（</w:t>
      </w:r>
      <w:r w:rsidRPr="004E08A2">
        <w:rPr>
          <w:rFonts w:asciiTheme="minorEastAsia" w:hAnsiTheme="minorEastAsia" w:hint="eastAsia"/>
          <w:b/>
          <w:color w:val="FF0000"/>
          <w:sz w:val="28"/>
          <w:szCs w:val="28"/>
        </w:rPr>
        <w:t>標示為舊式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）</w:t>
      </w:r>
      <w:r w:rsidRPr="000C4739">
        <w:rPr>
          <w:rFonts w:hint="eastAsia"/>
          <w:b/>
          <w:color w:val="FF0000"/>
          <w:sz w:val="28"/>
          <w:szCs w:val="28"/>
        </w:rPr>
        <w:t>。</w:t>
      </w:r>
    </w:p>
    <w:p w:rsidR="0038138E" w:rsidRPr="00BE48FB" w:rsidRDefault="0038138E" w:rsidP="0038138E">
      <w:pPr>
        <w:spacing w:line="360" w:lineRule="exact"/>
        <w:rPr>
          <w:rFonts w:asciiTheme="minorEastAsia" w:hAnsiTheme="minorEastAsia"/>
          <w:b/>
          <w:color w:val="FF0000"/>
          <w:sz w:val="28"/>
          <w:szCs w:val="28"/>
        </w:rPr>
      </w:pPr>
      <w:r w:rsidRPr="00BE48FB">
        <w:rPr>
          <w:rFonts w:asciiTheme="minorEastAsia" w:hAnsiTheme="minorEastAsia" w:hint="eastAsia"/>
          <w:b/>
          <w:color w:val="FF0000"/>
          <w:sz w:val="28"/>
          <w:szCs w:val="28"/>
        </w:rPr>
        <w:t>【100cc以下化學品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，只需標示中文名稱及</w:t>
      </w:r>
      <w:r w:rsidRPr="00BE48FB">
        <w:rPr>
          <w:rFonts w:asciiTheme="minorEastAsia" w:hAnsiTheme="minorEastAsia" w:hint="eastAsia"/>
          <w:b/>
          <w:color w:val="FF0000"/>
          <w:sz w:val="28"/>
          <w:szCs w:val="28"/>
        </w:rPr>
        <w:t>危害圖示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】</w:t>
      </w:r>
    </w:p>
    <w:p w:rsidR="00951443" w:rsidRDefault="00951443" w:rsidP="0038138E">
      <w:pPr>
        <w:spacing w:line="360" w:lineRule="exact"/>
        <w:rPr>
          <w:b/>
          <w:sz w:val="28"/>
          <w:szCs w:val="28"/>
        </w:rPr>
      </w:pPr>
    </w:p>
    <w:p w:rsidR="0038138E" w:rsidRPr="008609CE" w:rsidRDefault="0038138E" w:rsidP="0038138E">
      <w:pPr>
        <w:spacing w:line="360" w:lineRule="exact"/>
        <w:rPr>
          <w:b/>
          <w:sz w:val="28"/>
          <w:szCs w:val="28"/>
        </w:rPr>
      </w:pPr>
      <w:r w:rsidRPr="008609CE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二</w:t>
      </w:r>
      <w:r w:rsidRPr="008609CE">
        <w:rPr>
          <w:rFonts w:hint="eastAsia"/>
          <w:b/>
          <w:sz w:val="28"/>
          <w:szCs w:val="28"/>
        </w:rPr>
        <w:t>）法令依據：危險物及有害物標示及通識規則第</w:t>
      </w:r>
      <w:r w:rsidRPr="008609CE">
        <w:rPr>
          <w:b/>
          <w:sz w:val="28"/>
          <w:szCs w:val="28"/>
        </w:rPr>
        <w:t xml:space="preserve"> 15 </w:t>
      </w:r>
      <w:r w:rsidRPr="008609CE">
        <w:rPr>
          <w:rFonts w:hint="eastAsia"/>
          <w:b/>
          <w:sz w:val="28"/>
          <w:szCs w:val="28"/>
        </w:rPr>
        <w:t>條：應依實際狀況檢討物質安全資料表內容之正確性，並適時更新，其內容、更新日期、版次等更新紀錄保存三年。</w:t>
      </w:r>
    </w:p>
    <w:p w:rsidR="0038138E" w:rsidRPr="008609CE" w:rsidRDefault="0038138E" w:rsidP="0038138E">
      <w:pPr>
        <w:spacing w:line="360" w:lineRule="exact"/>
        <w:rPr>
          <w:b/>
          <w:color w:val="FF0000"/>
          <w:sz w:val="28"/>
          <w:szCs w:val="28"/>
        </w:rPr>
      </w:pPr>
      <w:r w:rsidRPr="008609CE">
        <w:rPr>
          <w:rFonts w:hint="eastAsia"/>
          <w:b/>
          <w:color w:val="FF0000"/>
          <w:sz w:val="28"/>
          <w:szCs w:val="28"/>
        </w:rPr>
        <w:t>物質安全資料表為舊版本。</w:t>
      </w:r>
    </w:p>
    <w:p w:rsidR="00951443" w:rsidRDefault="00951443" w:rsidP="0038138E">
      <w:pPr>
        <w:spacing w:line="360" w:lineRule="exact"/>
        <w:rPr>
          <w:rFonts w:asciiTheme="minorEastAsia" w:hAnsiTheme="minorEastAsia"/>
          <w:b/>
          <w:sz w:val="28"/>
          <w:szCs w:val="28"/>
        </w:rPr>
      </w:pPr>
    </w:p>
    <w:p w:rsidR="0038138E" w:rsidRPr="00C15257" w:rsidRDefault="0038138E" w:rsidP="0038138E">
      <w:pPr>
        <w:spacing w:line="360" w:lineRule="exact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Pr="00C15257">
        <w:rPr>
          <w:rFonts w:hint="eastAsia"/>
          <w:b/>
          <w:sz w:val="28"/>
          <w:szCs w:val="28"/>
        </w:rPr>
        <w:t>法令依據：勞工安全衛生設施規則第</w:t>
      </w:r>
      <w:r w:rsidRPr="00C15257">
        <w:rPr>
          <w:b/>
          <w:sz w:val="28"/>
          <w:szCs w:val="28"/>
        </w:rPr>
        <w:t xml:space="preserve"> 108 </w:t>
      </w:r>
      <w:r w:rsidRPr="00C15257">
        <w:rPr>
          <w:rFonts w:hint="eastAsia"/>
          <w:b/>
          <w:sz w:val="28"/>
          <w:szCs w:val="28"/>
        </w:rPr>
        <w:t>條第</w:t>
      </w:r>
      <w:r w:rsidRPr="00C15257">
        <w:rPr>
          <w:b/>
          <w:sz w:val="28"/>
          <w:szCs w:val="28"/>
        </w:rPr>
        <w:t xml:space="preserve">1 </w:t>
      </w:r>
      <w:r w:rsidRPr="00C15257">
        <w:rPr>
          <w:rFonts w:hint="eastAsia"/>
          <w:b/>
          <w:sz w:val="28"/>
          <w:szCs w:val="28"/>
        </w:rPr>
        <w:t>項第</w:t>
      </w:r>
      <w:r w:rsidRPr="00C15257">
        <w:rPr>
          <w:b/>
          <w:sz w:val="28"/>
          <w:szCs w:val="28"/>
        </w:rPr>
        <w:t xml:space="preserve">5 </w:t>
      </w:r>
      <w:r w:rsidRPr="00C15257">
        <w:rPr>
          <w:rFonts w:hint="eastAsia"/>
          <w:b/>
          <w:sz w:val="28"/>
          <w:szCs w:val="28"/>
        </w:rPr>
        <w:t>款：對高壓氣體之貯存，應安穩置放並加固定及</w:t>
      </w:r>
      <w:proofErr w:type="gramStart"/>
      <w:r w:rsidRPr="00C15257">
        <w:rPr>
          <w:rFonts w:hint="eastAsia"/>
          <w:b/>
          <w:sz w:val="28"/>
          <w:szCs w:val="28"/>
        </w:rPr>
        <w:t>裝妥護蓋</w:t>
      </w:r>
      <w:proofErr w:type="gramEnd"/>
      <w:r w:rsidRPr="00C15257">
        <w:rPr>
          <w:rFonts w:hint="eastAsia"/>
          <w:b/>
          <w:sz w:val="28"/>
          <w:szCs w:val="28"/>
        </w:rPr>
        <w:t>。</w:t>
      </w:r>
    </w:p>
    <w:p w:rsidR="0038138E" w:rsidRPr="00C15257" w:rsidRDefault="0038138E" w:rsidP="0038138E">
      <w:pPr>
        <w:spacing w:line="360" w:lineRule="exact"/>
        <w:rPr>
          <w:b/>
          <w:color w:val="FF0000"/>
          <w:sz w:val="28"/>
          <w:szCs w:val="28"/>
        </w:rPr>
      </w:pPr>
      <w:r w:rsidRPr="00C15257">
        <w:rPr>
          <w:rFonts w:hint="eastAsia"/>
          <w:b/>
          <w:color w:val="FF0000"/>
          <w:sz w:val="28"/>
          <w:szCs w:val="28"/>
        </w:rPr>
        <w:t>未使用之氣體鋼瓶未加</w:t>
      </w:r>
      <w:proofErr w:type="gramStart"/>
      <w:r w:rsidRPr="00C15257">
        <w:rPr>
          <w:rFonts w:hint="eastAsia"/>
          <w:b/>
          <w:color w:val="FF0000"/>
          <w:sz w:val="28"/>
          <w:szCs w:val="28"/>
        </w:rPr>
        <w:t>裝帽蓋</w:t>
      </w:r>
      <w:proofErr w:type="gramEnd"/>
      <w:r>
        <w:rPr>
          <w:rFonts w:ascii="新細明體" w:eastAsia="新細明體" w:hAnsi="新細明體" w:hint="eastAsia"/>
          <w:b/>
          <w:color w:val="FF0000"/>
          <w:sz w:val="28"/>
          <w:szCs w:val="28"/>
        </w:rPr>
        <w:t>（</w:t>
      </w:r>
      <w:r w:rsidRPr="00C57FC9">
        <w:rPr>
          <w:rFonts w:hint="eastAsia"/>
          <w:b/>
          <w:color w:val="FF0000"/>
          <w:sz w:val="28"/>
          <w:szCs w:val="28"/>
        </w:rPr>
        <w:t>未裝妥護蓋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）</w:t>
      </w:r>
      <w:r w:rsidRPr="00C15257">
        <w:rPr>
          <w:rFonts w:hint="eastAsia"/>
          <w:b/>
          <w:color w:val="FF0000"/>
          <w:sz w:val="28"/>
          <w:szCs w:val="28"/>
        </w:rPr>
        <w:t>與鋼瓶未依</w:t>
      </w:r>
      <w:r w:rsidRPr="00C15257">
        <w:rPr>
          <w:rFonts w:hint="eastAsia"/>
          <w:b/>
          <w:color w:val="FF0000"/>
          <w:sz w:val="28"/>
          <w:szCs w:val="28"/>
        </w:rPr>
        <w:t xml:space="preserve"> GHS </w:t>
      </w:r>
      <w:r w:rsidRPr="00C15257">
        <w:rPr>
          <w:rFonts w:hint="eastAsia"/>
          <w:b/>
          <w:color w:val="FF0000"/>
          <w:sz w:val="28"/>
          <w:szCs w:val="28"/>
        </w:rPr>
        <w:t>規定標示於瓶身</w:t>
      </w:r>
      <w:r w:rsidRPr="00C15257">
        <w:rPr>
          <w:rFonts w:asciiTheme="minorEastAsia" w:hAnsiTheme="minorEastAsia" w:hint="eastAsia"/>
          <w:b/>
          <w:color w:val="FF0000"/>
          <w:sz w:val="28"/>
          <w:szCs w:val="28"/>
        </w:rPr>
        <w:t>，</w:t>
      </w:r>
      <w:r w:rsidRPr="00C15257">
        <w:rPr>
          <w:rFonts w:hint="eastAsia"/>
          <w:b/>
          <w:color w:val="FF0000"/>
          <w:sz w:val="28"/>
          <w:szCs w:val="28"/>
        </w:rPr>
        <w:t>及鋼瓶之</w:t>
      </w:r>
      <w:r w:rsidRPr="00C15257">
        <w:rPr>
          <w:rFonts w:hint="eastAsia"/>
          <w:b/>
          <w:color w:val="FF0000"/>
          <w:sz w:val="28"/>
          <w:szCs w:val="28"/>
        </w:rPr>
        <w:t xml:space="preserve">GHS </w:t>
      </w:r>
      <w:r w:rsidRPr="00C15257">
        <w:rPr>
          <w:rFonts w:hint="eastAsia"/>
          <w:b/>
          <w:color w:val="FF0000"/>
          <w:sz w:val="28"/>
          <w:szCs w:val="28"/>
        </w:rPr>
        <w:t>標示為舊式，</w:t>
      </w:r>
      <w:r>
        <w:rPr>
          <w:rFonts w:hint="eastAsia"/>
          <w:b/>
          <w:color w:val="FF0000"/>
          <w:sz w:val="28"/>
          <w:szCs w:val="28"/>
        </w:rPr>
        <w:t>或</w:t>
      </w:r>
      <w:r w:rsidRPr="00F652E3">
        <w:rPr>
          <w:rFonts w:hint="eastAsia"/>
          <w:b/>
          <w:color w:val="FF0000"/>
          <w:sz w:val="28"/>
          <w:szCs w:val="28"/>
        </w:rPr>
        <w:t>氣體鋼瓶檢驗期限逾期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</w:p>
    <w:p w:rsidR="00951443" w:rsidRDefault="00951443" w:rsidP="0038138E">
      <w:pPr>
        <w:spacing w:line="360" w:lineRule="exact"/>
        <w:rPr>
          <w:rFonts w:asciiTheme="minorEastAsia" w:hAnsiTheme="minorEastAsia"/>
          <w:b/>
          <w:sz w:val="28"/>
          <w:szCs w:val="28"/>
        </w:rPr>
      </w:pPr>
    </w:p>
    <w:p w:rsidR="0038138E" w:rsidRPr="00A00AD4" w:rsidRDefault="0038138E" w:rsidP="0038138E">
      <w:pPr>
        <w:spacing w:line="360" w:lineRule="exact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（四）</w:t>
      </w:r>
      <w:r w:rsidRPr="00A00AD4">
        <w:rPr>
          <w:rFonts w:hint="eastAsia"/>
          <w:b/>
          <w:sz w:val="28"/>
          <w:szCs w:val="28"/>
        </w:rPr>
        <w:t>法令依據：勞工安全衛生設施規則第</w:t>
      </w:r>
      <w:r w:rsidRPr="00A00AD4">
        <w:rPr>
          <w:b/>
          <w:sz w:val="28"/>
          <w:szCs w:val="28"/>
        </w:rPr>
        <w:t xml:space="preserve"> 153 </w:t>
      </w:r>
      <w:r w:rsidRPr="00A00AD4">
        <w:rPr>
          <w:rFonts w:hint="eastAsia"/>
          <w:b/>
          <w:sz w:val="28"/>
          <w:szCs w:val="28"/>
        </w:rPr>
        <w:t>條：</w:t>
      </w:r>
      <w:proofErr w:type="gramStart"/>
      <w:r w:rsidRPr="00A00AD4">
        <w:rPr>
          <w:rFonts w:hint="eastAsia"/>
          <w:b/>
          <w:sz w:val="28"/>
          <w:szCs w:val="28"/>
        </w:rPr>
        <w:t>對於堆</w:t>
      </w:r>
      <w:proofErr w:type="gramEnd"/>
      <w:r w:rsidRPr="00A00AD4">
        <w:rPr>
          <w:rFonts w:hint="eastAsia"/>
          <w:b/>
          <w:sz w:val="28"/>
          <w:szCs w:val="28"/>
        </w:rPr>
        <w:t>置物料，為防止倒塌、崩塌或掉落，應採取繩索捆綁護網、</w:t>
      </w:r>
      <w:proofErr w:type="gramStart"/>
      <w:r w:rsidRPr="00A00AD4">
        <w:rPr>
          <w:rFonts w:hint="eastAsia"/>
          <w:b/>
          <w:sz w:val="28"/>
          <w:szCs w:val="28"/>
        </w:rPr>
        <w:t>擋樁</w:t>
      </w:r>
      <w:proofErr w:type="gramEnd"/>
      <w:r w:rsidRPr="00A00AD4">
        <w:rPr>
          <w:rFonts w:hint="eastAsia"/>
          <w:b/>
          <w:sz w:val="28"/>
          <w:szCs w:val="28"/>
        </w:rPr>
        <w:t>、限制高度或變更堆積等必要措施，並規定禁止與作業無關人員進入該等場所。</w:t>
      </w:r>
    </w:p>
    <w:p w:rsidR="0038138E" w:rsidRPr="00A00AD4" w:rsidRDefault="0038138E" w:rsidP="0038138E">
      <w:pPr>
        <w:spacing w:line="360" w:lineRule="exact"/>
        <w:rPr>
          <w:b/>
          <w:color w:val="FF0000"/>
          <w:sz w:val="28"/>
          <w:szCs w:val="28"/>
        </w:rPr>
      </w:pPr>
      <w:r w:rsidRPr="00A00AD4">
        <w:rPr>
          <w:rFonts w:hint="eastAsia"/>
          <w:b/>
          <w:color w:val="FF0000"/>
          <w:sz w:val="28"/>
          <w:szCs w:val="28"/>
        </w:rPr>
        <w:t>堆放</w:t>
      </w:r>
      <w:proofErr w:type="gramStart"/>
      <w:r w:rsidRPr="00A00AD4">
        <w:rPr>
          <w:rFonts w:hint="eastAsia"/>
          <w:b/>
          <w:color w:val="FF0000"/>
          <w:sz w:val="28"/>
          <w:szCs w:val="28"/>
        </w:rPr>
        <w:t>物料架未</w:t>
      </w:r>
      <w:proofErr w:type="gramEnd"/>
      <w:r w:rsidRPr="00A00AD4">
        <w:rPr>
          <w:rFonts w:hint="eastAsia"/>
          <w:b/>
          <w:color w:val="FF0000"/>
          <w:sz w:val="28"/>
          <w:szCs w:val="28"/>
        </w:rPr>
        <w:t>設有必要</w:t>
      </w:r>
      <w:r>
        <w:rPr>
          <w:rFonts w:hint="eastAsia"/>
          <w:b/>
          <w:color w:val="FF0000"/>
          <w:sz w:val="28"/>
          <w:szCs w:val="28"/>
        </w:rPr>
        <w:t>安全</w:t>
      </w:r>
      <w:r w:rsidRPr="00A00AD4">
        <w:rPr>
          <w:rFonts w:hint="eastAsia"/>
          <w:b/>
          <w:color w:val="FF0000"/>
          <w:sz w:val="28"/>
          <w:szCs w:val="28"/>
        </w:rPr>
        <w:t>措施，</w:t>
      </w:r>
      <w:r>
        <w:rPr>
          <w:rFonts w:hint="eastAsia"/>
          <w:b/>
          <w:color w:val="FF0000"/>
          <w:sz w:val="28"/>
          <w:szCs w:val="28"/>
        </w:rPr>
        <w:t>高處</w:t>
      </w:r>
      <w:r w:rsidRPr="00A00AD4">
        <w:rPr>
          <w:rFonts w:hint="eastAsia"/>
          <w:b/>
          <w:color w:val="FF0000"/>
          <w:sz w:val="28"/>
          <w:szCs w:val="28"/>
        </w:rPr>
        <w:t>物品有掉落砸到人員之虞。</w:t>
      </w:r>
    </w:p>
    <w:p w:rsidR="00951443" w:rsidRDefault="00951443" w:rsidP="0038138E">
      <w:pPr>
        <w:spacing w:line="360" w:lineRule="exact"/>
        <w:rPr>
          <w:rFonts w:asciiTheme="minorEastAsia" w:hAnsiTheme="minorEastAsia"/>
          <w:b/>
          <w:sz w:val="28"/>
          <w:szCs w:val="28"/>
        </w:rPr>
      </w:pPr>
    </w:p>
    <w:p w:rsidR="0038138E" w:rsidRPr="000C4739" w:rsidRDefault="0038138E" w:rsidP="0038138E">
      <w:pPr>
        <w:spacing w:line="360" w:lineRule="exact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（五）</w:t>
      </w:r>
      <w:r w:rsidRPr="000C4739">
        <w:rPr>
          <w:rFonts w:hint="eastAsia"/>
          <w:b/>
          <w:sz w:val="28"/>
          <w:szCs w:val="28"/>
        </w:rPr>
        <w:t>法令依據：勞工安全衛生設施規則第</w:t>
      </w:r>
      <w:r w:rsidRPr="000C4739">
        <w:rPr>
          <w:b/>
          <w:sz w:val="28"/>
          <w:szCs w:val="28"/>
        </w:rPr>
        <w:t xml:space="preserve"> 241 </w:t>
      </w:r>
      <w:r w:rsidRPr="000C4739">
        <w:rPr>
          <w:rFonts w:hint="eastAsia"/>
          <w:b/>
          <w:sz w:val="28"/>
          <w:szCs w:val="28"/>
        </w:rPr>
        <w:t>條：對於電氣機具之帶電部分，如勞工於作業中或通行時，有因接觸或接近致</w:t>
      </w:r>
      <w:proofErr w:type="gramStart"/>
      <w:r w:rsidRPr="000C4739">
        <w:rPr>
          <w:rFonts w:hint="eastAsia"/>
          <w:b/>
          <w:sz w:val="28"/>
          <w:szCs w:val="28"/>
        </w:rPr>
        <w:t>發生感電之虞</w:t>
      </w:r>
      <w:proofErr w:type="gramEnd"/>
      <w:r w:rsidRPr="000C4739">
        <w:rPr>
          <w:rFonts w:hint="eastAsia"/>
          <w:b/>
          <w:sz w:val="28"/>
          <w:szCs w:val="28"/>
        </w:rPr>
        <w:t>者，應設</w:t>
      </w:r>
      <w:proofErr w:type="gramStart"/>
      <w:r w:rsidRPr="000C4739">
        <w:rPr>
          <w:rFonts w:hint="eastAsia"/>
          <w:b/>
          <w:sz w:val="28"/>
          <w:szCs w:val="28"/>
        </w:rPr>
        <w:t>防止感電之護圍或絕緣</w:t>
      </w:r>
      <w:proofErr w:type="gramEnd"/>
      <w:r w:rsidRPr="000C4739">
        <w:rPr>
          <w:rFonts w:hint="eastAsia"/>
          <w:b/>
          <w:sz w:val="28"/>
          <w:szCs w:val="28"/>
        </w:rPr>
        <w:t>被覆。</w:t>
      </w:r>
    </w:p>
    <w:p w:rsidR="0038138E" w:rsidRPr="000C4739" w:rsidRDefault="0038138E" w:rsidP="0038138E">
      <w:pPr>
        <w:spacing w:line="360" w:lineRule="exact"/>
        <w:rPr>
          <w:b/>
          <w:color w:val="FF0000"/>
          <w:sz w:val="28"/>
          <w:szCs w:val="28"/>
        </w:rPr>
      </w:pPr>
      <w:r w:rsidRPr="00A10EFC">
        <w:rPr>
          <w:rFonts w:hint="eastAsia"/>
          <w:b/>
          <w:color w:val="FF0000"/>
          <w:sz w:val="28"/>
          <w:szCs w:val="28"/>
        </w:rPr>
        <w:t>考量用電安全</w:t>
      </w:r>
      <w:r>
        <w:rPr>
          <w:rFonts w:hint="eastAsia"/>
          <w:b/>
          <w:color w:val="FF0000"/>
          <w:sz w:val="28"/>
          <w:szCs w:val="28"/>
        </w:rPr>
        <w:t>與</w:t>
      </w:r>
      <w:r w:rsidRPr="00A10EFC">
        <w:rPr>
          <w:rFonts w:hint="eastAsia"/>
          <w:b/>
          <w:color w:val="FF0000"/>
          <w:sz w:val="28"/>
          <w:szCs w:val="28"/>
        </w:rPr>
        <w:t>用電過載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避免延長線連續串接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人員走動處利用</w:t>
      </w:r>
      <w:proofErr w:type="gramStart"/>
      <w:r>
        <w:rPr>
          <w:rFonts w:hint="eastAsia"/>
          <w:b/>
          <w:color w:val="FF0000"/>
          <w:sz w:val="28"/>
          <w:szCs w:val="28"/>
        </w:rPr>
        <w:t>線槽固定</w:t>
      </w:r>
      <w:proofErr w:type="gramEnd"/>
      <w:r>
        <w:rPr>
          <w:rFonts w:asciiTheme="minorEastAsia" w:hAnsiTheme="minorEastAsia" w:hint="eastAsia"/>
          <w:b/>
          <w:color w:val="FF0000"/>
          <w:sz w:val="28"/>
          <w:szCs w:val="28"/>
        </w:rPr>
        <w:t>，及</w:t>
      </w:r>
      <w:r>
        <w:rPr>
          <w:rFonts w:hint="eastAsia"/>
          <w:b/>
          <w:color w:val="FF0000"/>
          <w:sz w:val="28"/>
          <w:szCs w:val="28"/>
        </w:rPr>
        <w:t>插座未有</w:t>
      </w:r>
      <w:proofErr w:type="gramStart"/>
      <w:r>
        <w:rPr>
          <w:rFonts w:hint="eastAsia"/>
          <w:b/>
          <w:color w:val="FF0000"/>
          <w:sz w:val="28"/>
          <w:szCs w:val="28"/>
        </w:rPr>
        <w:t>固定恐有</w:t>
      </w:r>
      <w:r w:rsidRPr="000C4739">
        <w:rPr>
          <w:rFonts w:hint="eastAsia"/>
          <w:b/>
          <w:color w:val="FF0000"/>
          <w:sz w:val="28"/>
          <w:szCs w:val="28"/>
        </w:rPr>
        <w:t>感電</w:t>
      </w:r>
      <w:proofErr w:type="gramEnd"/>
      <w:r w:rsidRPr="000C4739">
        <w:rPr>
          <w:rFonts w:hint="eastAsia"/>
          <w:b/>
          <w:color w:val="FF0000"/>
          <w:sz w:val="28"/>
          <w:szCs w:val="28"/>
        </w:rPr>
        <w:t>之虞。</w:t>
      </w:r>
    </w:p>
    <w:p w:rsidR="00951443" w:rsidRDefault="00951443" w:rsidP="0038138E">
      <w:pPr>
        <w:spacing w:line="360" w:lineRule="exact"/>
        <w:rPr>
          <w:rFonts w:asciiTheme="minorEastAsia" w:hAnsiTheme="minorEastAsia"/>
          <w:b/>
          <w:sz w:val="28"/>
          <w:szCs w:val="28"/>
        </w:rPr>
      </w:pPr>
    </w:p>
    <w:p w:rsidR="0038138E" w:rsidRPr="00C15257" w:rsidRDefault="0038138E" w:rsidP="0038138E">
      <w:pPr>
        <w:spacing w:line="360" w:lineRule="exact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（六）</w:t>
      </w:r>
      <w:r w:rsidRPr="00C15257">
        <w:rPr>
          <w:rFonts w:hint="eastAsia"/>
          <w:b/>
          <w:sz w:val="28"/>
          <w:szCs w:val="28"/>
        </w:rPr>
        <w:t>法令依據：水污染防治法第</w:t>
      </w:r>
      <w:r w:rsidRPr="00C15257">
        <w:rPr>
          <w:rFonts w:hint="eastAsia"/>
          <w:b/>
          <w:sz w:val="28"/>
          <w:szCs w:val="28"/>
        </w:rPr>
        <w:t xml:space="preserve"> 32 </w:t>
      </w:r>
      <w:r w:rsidRPr="00C15257">
        <w:rPr>
          <w:rFonts w:hint="eastAsia"/>
          <w:b/>
          <w:sz w:val="28"/>
          <w:szCs w:val="28"/>
        </w:rPr>
        <w:t>條：廢（污）水不得注入於地下水體或排放於土壤。</w:t>
      </w:r>
    </w:p>
    <w:p w:rsidR="0038138E" w:rsidRPr="00ED798D" w:rsidRDefault="0038138E" w:rsidP="0038138E">
      <w:pPr>
        <w:spacing w:line="360" w:lineRule="exact"/>
        <w:rPr>
          <w:b/>
          <w:color w:val="FF0000"/>
          <w:sz w:val="28"/>
          <w:szCs w:val="28"/>
        </w:rPr>
      </w:pPr>
      <w:r w:rsidRPr="00ED798D">
        <w:rPr>
          <w:rFonts w:hint="eastAsia"/>
          <w:b/>
          <w:color w:val="FF0000"/>
          <w:sz w:val="28"/>
          <w:szCs w:val="28"/>
        </w:rPr>
        <w:t>化學原物料未</w:t>
      </w:r>
      <w:proofErr w:type="gramStart"/>
      <w:r w:rsidRPr="00ED798D">
        <w:rPr>
          <w:rFonts w:hint="eastAsia"/>
          <w:b/>
          <w:color w:val="FF0000"/>
          <w:sz w:val="28"/>
          <w:szCs w:val="28"/>
        </w:rPr>
        <w:t>設盛液盤</w:t>
      </w:r>
      <w:proofErr w:type="gramEnd"/>
      <w:r w:rsidRPr="00ED798D">
        <w:rPr>
          <w:rFonts w:hint="eastAsia"/>
          <w:b/>
          <w:color w:val="FF0000"/>
          <w:sz w:val="28"/>
          <w:szCs w:val="28"/>
        </w:rPr>
        <w:t>有滲出污染之虞。</w:t>
      </w:r>
    </w:p>
    <w:p w:rsidR="00DF2D65" w:rsidRPr="0038138E" w:rsidRDefault="00DF2D65"/>
    <w:sectPr w:rsidR="00DF2D65" w:rsidRPr="00381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78" w:rsidRDefault="00194E78" w:rsidP="000379C5">
      <w:r>
        <w:separator/>
      </w:r>
    </w:p>
  </w:endnote>
  <w:endnote w:type="continuationSeparator" w:id="0">
    <w:p w:rsidR="00194E78" w:rsidRDefault="00194E78" w:rsidP="0003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78" w:rsidRDefault="00194E78" w:rsidP="000379C5">
      <w:r>
        <w:separator/>
      </w:r>
    </w:p>
  </w:footnote>
  <w:footnote w:type="continuationSeparator" w:id="0">
    <w:p w:rsidR="00194E78" w:rsidRDefault="00194E78" w:rsidP="0003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8E"/>
    <w:rsid w:val="000379C5"/>
    <w:rsid w:val="00194E78"/>
    <w:rsid w:val="0038138E"/>
    <w:rsid w:val="00951443"/>
    <w:rsid w:val="00DF2D65"/>
    <w:rsid w:val="00E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8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9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9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8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9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2013-04-11T07:23:00Z</dcterms:created>
  <dcterms:modified xsi:type="dcterms:W3CDTF">2013-05-01T03:03:00Z</dcterms:modified>
</cp:coreProperties>
</file>